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57746DC" w14:textId="52EFF56A" w:rsidR="00EE6414" w:rsidRDefault="003A7D8B">
      <w:pPr>
        <w:spacing w:before="78"/>
        <w:ind w:left="6368"/>
        <w:rPr>
          <w:rFonts w:ascii="Calibri"/>
          <w:b/>
          <w:sz w:val="24"/>
        </w:rPr>
      </w:pPr>
      <w:r>
        <w:rPr>
          <w:rFonts w:ascii="Calibri"/>
          <w:b/>
          <w:noProof/>
          <w:sz w:val="24"/>
        </w:rPr>
        <w:drawing>
          <wp:anchor distT="0" distB="0" distL="0" distR="0" simplePos="0" relativeHeight="487541248" behindDoc="1" locked="0" layoutInCell="1" allowOverlap="1" wp14:anchorId="79086EE2" wp14:editId="58DDF936">
            <wp:simplePos x="0" y="0"/>
            <wp:positionH relativeFrom="page">
              <wp:align>right</wp:align>
            </wp:positionH>
            <wp:positionV relativeFrom="page">
              <wp:align>top</wp:align>
            </wp:positionV>
            <wp:extent cx="7559999" cy="10692000"/>
            <wp:effectExtent l="0" t="0" r="3175" b="0"/>
            <wp:wrapNone/>
            <wp:docPr id="1" name="Image 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 name="Image 1"/>
                    <pic:cNvPicPr/>
                  </pic:nvPicPr>
                  <pic:blipFill>
                    <a:blip r:embed="rId5" cstate="print"/>
                    <a:stretch>
                      <a:fillRect/>
                    </a:stretch>
                  </pic:blipFill>
                  <pic:spPr>
                    <a:xfrm>
                      <a:off x="0" y="0"/>
                      <a:ext cx="7559999" cy="10692000"/>
                    </a:xfrm>
                    <a:prstGeom prst="rect">
                      <a:avLst/>
                    </a:prstGeom>
                  </pic:spPr>
                </pic:pic>
              </a:graphicData>
            </a:graphic>
          </wp:anchor>
        </w:drawing>
      </w:r>
      <w:r>
        <w:rPr>
          <w:color w:val="231F20"/>
          <w:sz w:val="24"/>
        </w:rPr>
        <w:t>Date</w:t>
      </w:r>
      <w:r>
        <w:rPr>
          <w:color w:val="231F20"/>
          <w:spacing w:val="-5"/>
          <w:sz w:val="24"/>
        </w:rPr>
        <w:t xml:space="preserve"> </w:t>
      </w:r>
      <w:r>
        <w:rPr>
          <w:color w:val="231F20"/>
          <w:sz w:val="24"/>
        </w:rPr>
        <w:t>of</w:t>
      </w:r>
      <w:r>
        <w:rPr>
          <w:color w:val="231F20"/>
          <w:spacing w:val="-4"/>
          <w:sz w:val="24"/>
        </w:rPr>
        <w:t xml:space="preserve"> </w:t>
      </w:r>
      <w:r>
        <w:rPr>
          <w:color w:val="231F20"/>
          <w:sz w:val="24"/>
        </w:rPr>
        <w:t>Meeting</w:t>
      </w:r>
      <w:r>
        <w:rPr>
          <w:color w:val="231F20"/>
          <w:spacing w:val="-4"/>
          <w:sz w:val="24"/>
        </w:rPr>
        <w:t xml:space="preserve"> </w:t>
      </w:r>
      <w:r>
        <w:rPr>
          <w:color w:val="231F20"/>
          <w:sz w:val="24"/>
        </w:rPr>
        <w:t>|</w:t>
      </w:r>
      <w:r>
        <w:rPr>
          <w:color w:val="231F20"/>
          <w:spacing w:val="-5"/>
          <w:sz w:val="24"/>
        </w:rPr>
        <w:t xml:space="preserve"> </w:t>
      </w:r>
      <w:r w:rsidR="00C35751">
        <w:rPr>
          <w:rFonts w:ascii="Calibri"/>
          <w:b/>
          <w:color w:val="231F20"/>
          <w:sz w:val="24"/>
        </w:rPr>
        <w:t>23</w:t>
      </w:r>
      <w:r w:rsidR="00C35751">
        <w:rPr>
          <w:rFonts w:ascii="Calibri"/>
          <w:b/>
          <w:color w:val="231F20"/>
          <w:sz w:val="24"/>
          <w:vertAlign w:val="superscript"/>
        </w:rPr>
        <w:t xml:space="preserve"> </w:t>
      </w:r>
      <w:r w:rsidR="00C35751">
        <w:rPr>
          <w:rFonts w:ascii="Calibri"/>
          <w:b/>
          <w:sz w:val="24"/>
        </w:rPr>
        <w:t>April 2026</w:t>
      </w:r>
    </w:p>
    <w:p w14:paraId="0BE63AF8" w14:textId="77777777" w:rsidR="00EE6414" w:rsidRDefault="00EE6414">
      <w:pPr>
        <w:pStyle w:val="BodyText"/>
        <w:rPr>
          <w:rFonts w:ascii="Calibri"/>
          <w:b/>
        </w:rPr>
      </w:pPr>
    </w:p>
    <w:p w14:paraId="1A70F5CB" w14:textId="77777777" w:rsidR="00EE6414" w:rsidRDefault="00EE6414">
      <w:pPr>
        <w:pStyle w:val="BodyText"/>
        <w:rPr>
          <w:rFonts w:ascii="Calibri"/>
          <w:b/>
        </w:rPr>
      </w:pPr>
    </w:p>
    <w:p w14:paraId="7A921AF9" w14:textId="77777777" w:rsidR="00EE6414" w:rsidRDefault="00EE6414">
      <w:pPr>
        <w:pStyle w:val="BodyText"/>
        <w:rPr>
          <w:rFonts w:ascii="Calibri"/>
          <w:b/>
        </w:rPr>
      </w:pPr>
    </w:p>
    <w:p w14:paraId="5221C56E" w14:textId="77777777" w:rsidR="00EE6414" w:rsidRDefault="00EE6414">
      <w:pPr>
        <w:pStyle w:val="BodyText"/>
        <w:rPr>
          <w:rFonts w:ascii="Calibri"/>
          <w:b/>
        </w:rPr>
      </w:pPr>
    </w:p>
    <w:p w14:paraId="749FFA47" w14:textId="77777777" w:rsidR="00EE6414" w:rsidRDefault="00EE6414">
      <w:pPr>
        <w:pStyle w:val="BodyText"/>
        <w:rPr>
          <w:rFonts w:ascii="Calibri"/>
          <w:b/>
        </w:rPr>
      </w:pPr>
    </w:p>
    <w:p w14:paraId="38517685" w14:textId="77777777" w:rsidR="00EE6414" w:rsidRDefault="00EE6414">
      <w:pPr>
        <w:pStyle w:val="BodyText"/>
        <w:rPr>
          <w:rFonts w:ascii="Calibri"/>
          <w:b/>
        </w:rPr>
      </w:pPr>
    </w:p>
    <w:p w14:paraId="283CA88E" w14:textId="77777777" w:rsidR="00EE6414" w:rsidRDefault="00EE6414">
      <w:pPr>
        <w:pStyle w:val="BodyText"/>
        <w:rPr>
          <w:rFonts w:ascii="Calibri"/>
          <w:b/>
        </w:rPr>
      </w:pPr>
    </w:p>
    <w:p w14:paraId="3A1B1A11" w14:textId="77777777" w:rsidR="00EE6414" w:rsidRDefault="00EE6414">
      <w:pPr>
        <w:pStyle w:val="BodyText"/>
        <w:rPr>
          <w:rFonts w:ascii="Calibri"/>
          <w:b/>
        </w:rPr>
      </w:pPr>
    </w:p>
    <w:p w14:paraId="3CC3C6C8" w14:textId="77777777" w:rsidR="00EE6414" w:rsidRDefault="00EE6414">
      <w:pPr>
        <w:pStyle w:val="BodyText"/>
        <w:rPr>
          <w:rFonts w:ascii="Calibri"/>
          <w:b/>
        </w:rPr>
      </w:pPr>
    </w:p>
    <w:p w14:paraId="3DADC0DF" w14:textId="77777777" w:rsidR="00EE6414" w:rsidRDefault="00EE6414">
      <w:pPr>
        <w:pStyle w:val="BodyText"/>
        <w:rPr>
          <w:rFonts w:ascii="Calibri"/>
          <w:b/>
        </w:rPr>
      </w:pPr>
    </w:p>
    <w:p w14:paraId="4DCCF929" w14:textId="77777777" w:rsidR="00EE6414" w:rsidRDefault="00EE6414">
      <w:pPr>
        <w:pStyle w:val="BodyText"/>
        <w:rPr>
          <w:rFonts w:ascii="Calibri"/>
          <w:b/>
        </w:rPr>
      </w:pPr>
    </w:p>
    <w:p w14:paraId="4B7F850B" w14:textId="77777777" w:rsidR="00EE6414" w:rsidRDefault="00EE6414">
      <w:pPr>
        <w:pStyle w:val="BodyText"/>
        <w:rPr>
          <w:rFonts w:ascii="Calibri"/>
          <w:b/>
        </w:rPr>
      </w:pPr>
    </w:p>
    <w:p w14:paraId="761FC717" w14:textId="77777777" w:rsidR="00EE6414" w:rsidRDefault="00EE6414">
      <w:pPr>
        <w:pStyle w:val="BodyText"/>
        <w:rPr>
          <w:rFonts w:ascii="Calibri"/>
          <w:b/>
        </w:rPr>
      </w:pPr>
    </w:p>
    <w:p w14:paraId="3C25C43A" w14:textId="77777777" w:rsidR="00EE6414" w:rsidRDefault="00EE6414">
      <w:pPr>
        <w:pStyle w:val="BodyText"/>
        <w:rPr>
          <w:rFonts w:ascii="Calibri"/>
          <w:b/>
        </w:rPr>
      </w:pPr>
    </w:p>
    <w:p w14:paraId="44A11FAB" w14:textId="77777777" w:rsidR="00AD7C26" w:rsidRDefault="00AD7C26" w:rsidP="00AD7C26">
      <w:pPr>
        <w:pStyle w:val="Heading1"/>
        <w:rPr>
          <w:color w:val="8DC63F"/>
          <w:spacing w:val="-13"/>
        </w:rPr>
      </w:pPr>
    </w:p>
    <w:p w14:paraId="4E73D51D" w14:textId="6F0241BF" w:rsidR="00AD7C26" w:rsidRDefault="00385C20" w:rsidP="00AD7C26">
      <w:pPr>
        <w:pStyle w:val="Heading1"/>
        <w:rPr>
          <w:color w:val="8DC63F"/>
          <w:spacing w:val="-13"/>
        </w:rPr>
      </w:pPr>
      <w:r>
        <w:rPr>
          <w:color w:val="8DC63F"/>
          <w:spacing w:val="-13"/>
        </w:rPr>
        <w:t>Topics Discussed &amp; Presenter</w:t>
      </w:r>
    </w:p>
    <w:p w14:paraId="7924D9A6" w14:textId="77777777" w:rsidR="00281209" w:rsidRPr="00EC11C8" w:rsidRDefault="00281209" w:rsidP="00EC11C8">
      <w:pPr>
        <w:ind w:left="851"/>
        <w:rPr>
          <w:b/>
          <w:bCs/>
        </w:rPr>
      </w:pPr>
      <w:r w:rsidRPr="00EC11C8">
        <w:rPr>
          <w:b/>
          <w:bCs/>
        </w:rPr>
        <w:t xml:space="preserve">Recruitment Update – Customer Voice Panel – </w:t>
      </w:r>
      <w:r w:rsidRPr="00EC11C8">
        <w:t>Lisa Fairlie, Director of Housing Operations</w:t>
      </w:r>
    </w:p>
    <w:p w14:paraId="15668971" w14:textId="4526149E" w:rsidR="00EE6414" w:rsidRPr="00EC11C8" w:rsidRDefault="00AA5AB6" w:rsidP="00EC11C8">
      <w:pPr>
        <w:pStyle w:val="BodyText"/>
        <w:ind w:left="851"/>
        <w:rPr>
          <w:b/>
          <w:bCs/>
          <w:sz w:val="22"/>
          <w:szCs w:val="22"/>
        </w:rPr>
      </w:pPr>
      <w:r w:rsidRPr="00EC11C8">
        <w:rPr>
          <w:b/>
          <w:bCs/>
          <w:sz w:val="22"/>
          <w:szCs w:val="22"/>
        </w:rPr>
        <w:t xml:space="preserve">Social Value Framework Update - </w:t>
      </w:r>
      <w:r w:rsidRPr="00EC11C8">
        <w:rPr>
          <w:sz w:val="22"/>
          <w:szCs w:val="22"/>
        </w:rPr>
        <w:t>Lianne Taylor, Director of </w:t>
      </w:r>
      <w:r w:rsidR="00110534" w:rsidRPr="00EC11C8">
        <w:rPr>
          <w:sz w:val="22"/>
          <w:szCs w:val="22"/>
        </w:rPr>
        <w:t>Sustainability</w:t>
      </w:r>
    </w:p>
    <w:p w14:paraId="65D5B6F5" w14:textId="77777777" w:rsidR="00110534" w:rsidRPr="00EC11C8" w:rsidRDefault="00110534" w:rsidP="00EC11C8">
      <w:pPr>
        <w:ind w:left="851" w:right="176"/>
        <w:rPr>
          <w:b/>
          <w:bCs/>
        </w:rPr>
      </w:pPr>
      <w:r w:rsidRPr="00EC11C8">
        <w:rPr>
          <w:b/>
          <w:bCs/>
        </w:rPr>
        <w:t xml:space="preserve">Safeguarding Policies - </w:t>
      </w:r>
      <w:r w:rsidRPr="00EC11C8">
        <w:t>Kath Dawson, Domestic Abuse and Safeguarding Manager</w:t>
      </w:r>
    </w:p>
    <w:p w14:paraId="3B1B3FC9" w14:textId="3785E26A" w:rsidR="00E158C2" w:rsidRPr="00BD3AA1" w:rsidRDefault="00E158C2" w:rsidP="00EC11C8">
      <w:pPr>
        <w:ind w:left="851" w:right="176"/>
        <w:jc w:val="both"/>
      </w:pPr>
      <w:r w:rsidRPr="00EC11C8">
        <w:rPr>
          <w:b/>
          <w:bCs/>
        </w:rPr>
        <w:t xml:space="preserve">Develop questions for Ministry of Housing, Communities &amp; Local Government Panel (MHCLG) – </w:t>
      </w:r>
      <w:r w:rsidR="00BD3AA1">
        <w:rPr>
          <w:b/>
          <w:bCs/>
        </w:rPr>
        <w:t>Engagement</w:t>
      </w:r>
      <w:r w:rsidRPr="00EC11C8">
        <w:rPr>
          <w:b/>
          <w:bCs/>
        </w:rPr>
        <w:t xml:space="preserve"> </w:t>
      </w:r>
      <w:r w:rsidR="00BD3AA1">
        <w:rPr>
          <w:b/>
          <w:bCs/>
        </w:rPr>
        <w:t xml:space="preserve">Preparation </w:t>
      </w:r>
      <w:r w:rsidR="00BD3AA1" w:rsidRPr="00BD3AA1">
        <w:t xml:space="preserve">– Customer Voice Panel </w:t>
      </w:r>
      <w:r w:rsidRPr="00BD3AA1">
        <w:t xml:space="preserve"> </w:t>
      </w:r>
    </w:p>
    <w:p w14:paraId="19B3795D" w14:textId="77777777" w:rsidR="00EE6414" w:rsidRPr="00BD3AA1" w:rsidRDefault="00EE6414">
      <w:pPr>
        <w:pStyle w:val="BodyText"/>
        <w:spacing w:before="88"/>
      </w:pPr>
    </w:p>
    <w:p w14:paraId="5DF96901" w14:textId="77777777" w:rsidR="00A97DD0" w:rsidRDefault="00A97DD0" w:rsidP="00A97DD0">
      <w:pPr>
        <w:pStyle w:val="Heading1"/>
        <w:rPr>
          <w:color w:val="8DC63F"/>
          <w:spacing w:val="-13"/>
        </w:rPr>
      </w:pPr>
      <w:r>
        <w:rPr>
          <w:color w:val="8DC63F"/>
          <w:spacing w:val="-13"/>
        </w:rPr>
        <w:t>Observations, Recommendations &amp; Actions</w:t>
      </w:r>
    </w:p>
    <w:p w14:paraId="7C6D7228" w14:textId="77777777" w:rsidR="00855E27" w:rsidRPr="0066168F" w:rsidRDefault="00855E27" w:rsidP="00855E27">
      <w:pPr>
        <w:pStyle w:val="BodyText"/>
        <w:spacing w:before="117" w:line="235" w:lineRule="auto"/>
        <w:ind w:left="851" w:right="297"/>
        <w:rPr>
          <w:b/>
          <w:bCs/>
          <w:color w:val="231F20"/>
          <w:sz w:val="22"/>
          <w:szCs w:val="22"/>
          <w:lang w:val="en-GB"/>
        </w:rPr>
      </w:pPr>
      <w:r w:rsidRPr="0066168F">
        <w:rPr>
          <w:b/>
          <w:bCs/>
          <w:color w:val="231F20"/>
          <w:sz w:val="22"/>
          <w:szCs w:val="22"/>
          <w:lang w:val="en-GB"/>
        </w:rPr>
        <w:t>Recruitment Update</w:t>
      </w:r>
    </w:p>
    <w:p w14:paraId="635A57D9" w14:textId="136A9F49" w:rsidR="00855E27" w:rsidRPr="0066168F" w:rsidRDefault="00855E27" w:rsidP="00855E27">
      <w:pPr>
        <w:pStyle w:val="BodyText"/>
        <w:spacing w:before="117" w:line="235" w:lineRule="auto"/>
        <w:ind w:left="851" w:right="297"/>
        <w:rPr>
          <w:color w:val="231F20"/>
          <w:sz w:val="22"/>
          <w:szCs w:val="22"/>
          <w:lang w:val="en-GB"/>
        </w:rPr>
      </w:pPr>
      <w:r w:rsidRPr="0066168F">
        <w:rPr>
          <w:color w:val="231F20"/>
          <w:sz w:val="22"/>
          <w:szCs w:val="22"/>
          <w:lang w:val="en-GB"/>
        </w:rPr>
        <w:t xml:space="preserve">The Panel noted strong interest in joining the Customer Voice Panel from across Platform's operating areas. The recruitment process was recognised as being robust, inclusive and focused on achieving appropriate representation across geography, protected characteristics and skills. Panel members supported the decision to pause recruitment </w:t>
      </w:r>
      <w:proofErr w:type="gramStart"/>
      <w:r w:rsidRPr="0066168F">
        <w:rPr>
          <w:color w:val="231F20"/>
          <w:sz w:val="22"/>
          <w:szCs w:val="22"/>
          <w:lang w:val="en-GB"/>
        </w:rPr>
        <w:t>in order to</w:t>
      </w:r>
      <w:proofErr w:type="gramEnd"/>
      <w:r w:rsidRPr="0066168F">
        <w:rPr>
          <w:color w:val="231F20"/>
          <w:sz w:val="22"/>
          <w:szCs w:val="22"/>
          <w:lang w:val="en-GB"/>
        </w:rPr>
        <w:t xml:space="preserve"> assess applications against identified representation gaps rather than making appointments prematurely.</w:t>
      </w:r>
    </w:p>
    <w:p w14:paraId="76F0B2C8" w14:textId="0F0B42F9" w:rsidR="00A5040C" w:rsidRPr="0066168F" w:rsidRDefault="0054659C" w:rsidP="001E108F">
      <w:pPr>
        <w:pStyle w:val="BodyText"/>
        <w:spacing w:before="117" w:line="235" w:lineRule="auto"/>
        <w:ind w:left="851" w:right="297"/>
        <w:rPr>
          <w:b/>
          <w:bCs/>
          <w:sz w:val="22"/>
          <w:szCs w:val="22"/>
          <w:lang w:val="en-GB"/>
        </w:rPr>
      </w:pPr>
      <w:r w:rsidRPr="0066168F">
        <w:rPr>
          <w:b/>
          <w:bCs/>
          <w:sz w:val="22"/>
          <w:szCs w:val="22"/>
          <w:lang w:val="en-GB"/>
        </w:rPr>
        <w:t>Recommendations and Actions</w:t>
      </w:r>
    </w:p>
    <w:p w14:paraId="18333DE9" w14:textId="0186AAB2" w:rsidR="0054659C" w:rsidRPr="0066168F" w:rsidRDefault="0054659C" w:rsidP="0054659C">
      <w:pPr>
        <w:pStyle w:val="BodyText"/>
        <w:numPr>
          <w:ilvl w:val="0"/>
          <w:numId w:val="1"/>
        </w:numPr>
        <w:spacing w:before="117" w:line="235" w:lineRule="auto"/>
        <w:ind w:right="297"/>
        <w:rPr>
          <w:sz w:val="22"/>
          <w:szCs w:val="22"/>
          <w:lang w:val="en-GB"/>
        </w:rPr>
      </w:pPr>
      <w:r w:rsidRPr="0066168F">
        <w:rPr>
          <w:sz w:val="22"/>
          <w:szCs w:val="22"/>
          <w:lang w:val="en-GB"/>
        </w:rPr>
        <w:t xml:space="preserve">Continue monitoring representation gaps and use customer profile data to support a diverse and representative panel membership. </w:t>
      </w:r>
    </w:p>
    <w:p w14:paraId="00DAC0FB" w14:textId="0E705307" w:rsidR="0054659C" w:rsidRPr="0066168F" w:rsidRDefault="0054659C" w:rsidP="0054659C">
      <w:pPr>
        <w:pStyle w:val="BodyText"/>
        <w:numPr>
          <w:ilvl w:val="0"/>
          <w:numId w:val="1"/>
        </w:numPr>
        <w:spacing w:before="117" w:line="235" w:lineRule="auto"/>
        <w:ind w:right="297"/>
        <w:rPr>
          <w:sz w:val="22"/>
          <w:szCs w:val="22"/>
          <w:lang w:val="en-GB"/>
        </w:rPr>
      </w:pPr>
      <w:r w:rsidRPr="0066168F">
        <w:rPr>
          <w:sz w:val="22"/>
          <w:szCs w:val="22"/>
          <w:lang w:val="en-GB"/>
        </w:rPr>
        <w:t>Maintain proactive communication with applicants throughout the extended recruitment process to sustain engagement and transparency.</w:t>
      </w:r>
    </w:p>
    <w:p w14:paraId="0E2C528C" w14:textId="77777777" w:rsidR="00D56BC3" w:rsidRPr="0066168F" w:rsidRDefault="00D56BC3" w:rsidP="001E108F">
      <w:pPr>
        <w:pStyle w:val="BodyText"/>
        <w:spacing w:before="117" w:line="235" w:lineRule="auto"/>
        <w:ind w:left="851" w:right="297"/>
        <w:rPr>
          <w:b/>
          <w:bCs/>
          <w:sz w:val="22"/>
          <w:szCs w:val="22"/>
          <w:lang w:val="en-GB"/>
        </w:rPr>
      </w:pPr>
    </w:p>
    <w:p w14:paraId="7CB47B2F" w14:textId="5A126151" w:rsidR="00A5040C" w:rsidRPr="0066168F" w:rsidRDefault="00A5040C" w:rsidP="001E108F">
      <w:pPr>
        <w:pStyle w:val="BodyText"/>
        <w:spacing w:before="117" w:line="235" w:lineRule="auto"/>
        <w:ind w:left="851" w:right="297"/>
        <w:rPr>
          <w:b/>
          <w:bCs/>
          <w:sz w:val="22"/>
          <w:szCs w:val="22"/>
          <w:lang w:val="en-GB"/>
        </w:rPr>
      </w:pPr>
      <w:r w:rsidRPr="0066168F">
        <w:rPr>
          <w:b/>
          <w:bCs/>
          <w:sz w:val="22"/>
          <w:szCs w:val="22"/>
          <w:lang w:val="en-GB"/>
        </w:rPr>
        <w:t>Social Value Framework</w:t>
      </w:r>
    </w:p>
    <w:p w14:paraId="0A535912" w14:textId="6F286B97" w:rsidR="001E108F" w:rsidRPr="0066168F" w:rsidRDefault="001E108F" w:rsidP="001E108F">
      <w:pPr>
        <w:pStyle w:val="BodyText"/>
        <w:spacing w:before="117" w:line="235" w:lineRule="auto"/>
        <w:ind w:left="851" w:right="297"/>
        <w:rPr>
          <w:sz w:val="22"/>
          <w:szCs w:val="22"/>
          <w:lang w:val="en-GB"/>
        </w:rPr>
      </w:pPr>
      <w:r w:rsidRPr="0066168F">
        <w:rPr>
          <w:sz w:val="22"/>
          <w:szCs w:val="22"/>
          <w:lang w:val="en-GB"/>
        </w:rPr>
        <w:t xml:space="preserve">Members welcomed progress in developing the Social Value Framework and the extensive engagement undertaken with customers, colleagues and suppliers. The proposed priority themes of Cost of Living, Thriving Communities, and Employment &amp; Skills Development were considered relevant and meaningful for customers. </w:t>
      </w:r>
    </w:p>
    <w:p w14:paraId="3A8CC38F" w14:textId="7BD10D1A" w:rsidR="001E108F" w:rsidRDefault="001E108F" w:rsidP="001E108F">
      <w:pPr>
        <w:pStyle w:val="BodyText"/>
        <w:spacing w:before="117" w:line="235" w:lineRule="auto"/>
        <w:ind w:left="851" w:right="297"/>
        <w:rPr>
          <w:sz w:val="22"/>
          <w:szCs w:val="22"/>
          <w:lang w:val="en-GB"/>
        </w:rPr>
      </w:pPr>
      <w:r w:rsidRPr="0066168F">
        <w:rPr>
          <w:sz w:val="22"/>
          <w:szCs w:val="22"/>
          <w:lang w:val="en-GB"/>
        </w:rPr>
        <w:t xml:space="preserve">Members sought assurance that supplier contributions would be varied and balanced, avoiding duplication of activity across providers. There was also interest in ensuring environmental benefits remain visible alongside social outcomes. </w:t>
      </w:r>
    </w:p>
    <w:p w14:paraId="45370B62" w14:textId="55676A79" w:rsidR="001E108F" w:rsidRPr="0066168F" w:rsidRDefault="001E108F" w:rsidP="001E108F">
      <w:pPr>
        <w:pStyle w:val="BodyText"/>
        <w:spacing w:before="117" w:line="235" w:lineRule="auto"/>
        <w:ind w:left="851" w:right="297"/>
        <w:rPr>
          <w:sz w:val="22"/>
          <w:szCs w:val="22"/>
          <w:lang w:val="en-GB"/>
        </w:rPr>
      </w:pPr>
      <w:r w:rsidRPr="0066168F">
        <w:rPr>
          <w:sz w:val="22"/>
          <w:szCs w:val="22"/>
          <w:lang w:val="en-GB"/>
        </w:rPr>
        <w:t>The Panel expressed support for the introduction of Social Value Champions and highlighted the importance of customer involvement in monitoring delivery and impact.</w:t>
      </w:r>
    </w:p>
    <w:p w14:paraId="057F04BD" w14:textId="77777777" w:rsidR="00AD7C26" w:rsidRDefault="00AD7C26" w:rsidP="001E108F">
      <w:pPr>
        <w:pStyle w:val="BodyText"/>
        <w:spacing w:before="117" w:line="235" w:lineRule="auto"/>
        <w:ind w:left="851" w:right="297"/>
        <w:rPr>
          <w:b/>
          <w:bCs/>
          <w:sz w:val="22"/>
          <w:szCs w:val="22"/>
          <w:lang w:val="en-GB"/>
        </w:rPr>
      </w:pPr>
    </w:p>
    <w:p w14:paraId="215AB019" w14:textId="77777777" w:rsidR="00AD7C26" w:rsidRDefault="00AD7C26" w:rsidP="001E108F">
      <w:pPr>
        <w:pStyle w:val="BodyText"/>
        <w:spacing w:before="117" w:line="235" w:lineRule="auto"/>
        <w:ind w:left="851" w:right="297"/>
        <w:rPr>
          <w:b/>
          <w:bCs/>
          <w:sz w:val="22"/>
          <w:szCs w:val="22"/>
          <w:lang w:val="en-GB"/>
        </w:rPr>
      </w:pPr>
    </w:p>
    <w:p w14:paraId="5753C0CA" w14:textId="14BB0353" w:rsidR="00AD7C26" w:rsidRDefault="00AD7C26" w:rsidP="001E108F">
      <w:pPr>
        <w:pStyle w:val="BodyText"/>
        <w:spacing w:before="117" w:line="235" w:lineRule="auto"/>
        <w:ind w:left="851" w:right="297"/>
        <w:rPr>
          <w:b/>
          <w:bCs/>
          <w:sz w:val="22"/>
          <w:szCs w:val="22"/>
          <w:lang w:val="en-GB"/>
        </w:rPr>
      </w:pPr>
    </w:p>
    <w:p w14:paraId="07F20754" w14:textId="5A5CE244" w:rsidR="00AD7C26" w:rsidRDefault="00AD7C26" w:rsidP="001E108F">
      <w:pPr>
        <w:pStyle w:val="BodyText"/>
        <w:spacing w:before="117" w:line="235" w:lineRule="auto"/>
        <w:ind w:left="851" w:right="297"/>
        <w:rPr>
          <w:b/>
          <w:bCs/>
          <w:sz w:val="22"/>
          <w:szCs w:val="22"/>
          <w:lang w:val="en-GB"/>
        </w:rPr>
      </w:pPr>
      <w:r>
        <w:rPr>
          <w:noProof/>
        </w:rPr>
        <w:lastRenderedPageBreak/>
        <w:drawing>
          <wp:anchor distT="0" distB="0" distL="0" distR="0" simplePos="0" relativeHeight="487541760" behindDoc="1" locked="0" layoutInCell="1" allowOverlap="1" wp14:anchorId="43B0BD08" wp14:editId="416072C8">
            <wp:simplePos x="0" y="0"/>
            <wp:positionH relativeFrom="page">
              <wp:posOffset>-45720</wp:posOffset>
            </wp:positionH>
            <wp:positionV relativeFrom="page">
              <wp:posOffset>7620</wp:posOffset>
            </wp:positionV>
            <wp:extent cx="7559675" cy="10691495"/>
            <wp:effectExtent l="0" t="0" r="3175" b="0"/>
            <wp:wrapNone/>
            <wp:docPr id="2" name="Image 2"/>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 name="Image 2"/>
                    <pic:cNvPicPr/>
                  </pic:nvPicPr>
                  <pic:blipFill>
                    <a:blip r:embed="rId6" cstate="print"/>
                    <a:stretch>
                      <a:fillRect/>
                    </a:stretch>
                  </pic:blipFill>
                  <pic:spPr>
                    <a:xfrm>
                      <a:off x="0" y="0"/>
                      <a:ext cx="7559675" cy="10691495"/>
                    </a:xfrm>
                    <a:prstGeom prst="rect">
                      <a:avLst/>
                    </a:prstGeom>
                  </pic:spPr>
                </pic:pic>
              </a:graphicData>
            </a:graphic>
          </wp:anchor>
        </w:drawing>
      </w:r>
    </w:p>
    <w:p w14:paraId="1260F74A" w14:textId="5A9E4179" w:rsidR="000B6C92" w:rsidRPr="0066168F" w:rsidRDefault="0054659C" w:rsidP="001E108F">
      <w:pPr>
        <w:pStyle w:val="BodyText"/>
        <w:spacing w:before="117" w:line="235" w:lineRule="auto"/>
        <w:ind w:left="851" w:right="297"/>
        <w:rPr>
          <w:b/>
          <w:bCs/>
          <w:sz w:val="22"/>
          <w:szCs w:val="22"/>
          <w:lang w:val="en-GB"/>
        </w:rPr>
      </w:pPr>
      <w:r w:rsidRPr="0066168F">
        <w:rPr>
          <w:b/>
          <w:bCs/>
          <w:sz w:val="22"/>
          <w:szCs w:val="22"/>
          <w:lang w:val="en-GB"/>
        </w:rPr>
        <w:t>Recommendations and Actions</w:t>
      </w:r>
    </w:p>
    <w:p w14:paraId="56382B9E" w14:textId="2EA1EAD3" w:rsidR="00090371" w:rsidRPr="0066168F" w:rsidRDefault="00090371" w:rsidP="00090371">
      <w:pPr>
        <w:pStyle w:val="BodyText"/>
        <w:numPr>
          <w:ilvl w:val="0"/>
          <w:numId w:val="2"/>
        </w:numPr>
        <w:spacing w:before="117" w:line="235" w:lineRule="auto"/>
        <w:ind w:right="297"/>
        <w:rPr>
          <w:sz w:val="22"/>
          <w:szCs w:val="22"/>
          <w:lang w:val="en-GB"/>
        </w:rPr>
      </w:pPr>
      <w:r w:rsidRPr="0066168F">
        <w:rPr>
          <w:sz w:val="22"/>
          <w:szCs w:val="22"/>
          <w:lang w:val="en-GB"/>
        </w:rPr>
        <w:t xml:space="preserve">Establish clear guidance for suppliers to ensure a balanced range of social value activities across priority areas. </w:t>
      </w:r>
    </w:p>
    <w:p w14:paraId="43EE38BF" w14:textId="60A5F961" w:rsidR="00090371" w:rsidRPr="0066168F" w:rsidRDefault="00090371" w:rsidP="00090371">
      <w:pPr>
        <w:pStyle w:val="BodyText"/>
        <w:numPr>
          <w:ilvl w:val="0"/>
          <w:numId w:val="2"/>
        </w:numPr>
        <w:spacing w:before="117" w:line="235" w:lineRule="auto"/>
        <w:ind w:right="297"/>
        <w:rPr>
          <w:sz w:val="22"/>
          <w:szCs w:val="22"/>
          <w:lang w:val="en-GB"/>
        </w:rPr>
      </w:pPr>
      <w:r w:rsidRPr="0066168F">
        <w:rPr>
          <w:sz w:val="22"/>
          <w:szCs w:val="22"/>
          <w:lang w:val="en-GB"/>
        </w:rPr>
        <w:t xml:space="preserve">Incorporate environmental outcomes as a clearly visible element of social value reporting and communications. </w:t>
      </w:r>
    </w:p>
    <w:p w14:paraId="2503C3E4" w14:textId="18ECEB4B" w:rsidR="00090371" w:rsidRPr="0066168F" w:rsidRDefault="00090371" w:rsidP="00090371">
      <w:pPr>
        <w:pStyle w:val="BodyText"/>
        <w:numPr>
          <w:ilvl w:val="0"/>
          <w:numId w:val="2"/>
        </w:numPr>
        <w:spacing w:before="117" w:line="235" w:lineRule="auto"/>
        <w:ind w:right="297"/>
        <w:rPr>
          <w:sz w:val="22"/>
          <w:szCs w:val="22"/>
          <w:lang w:val="en-GB"/>
        </w:rPr>
      </w:pPr>
      <w:r w:rsidRPr="0066168F">
        <w:rPr>
          <w:sz w:val="22"/>
          <w:szCs w:val="22"/>
          <w:lang w:val="en-GB"/>
        </w:rPr>
        <w:t xml:space="preserve">Develop opportunities for customers to contribute to the monitoring and review of supplier social value commitments. </w:t>
      </w:r>
    </w:p>
    <w:p w14:paraId="7175A54D" w14:textId="42E69527" w:rsidR="0054659C" w:rsidRPr="0066168F" w:rsidRDefault="0054659C" w:rsidP="001E108F">
      <w:pPr>
        <w:pStyle w:val="BodyText"/>
        <w:spacing w:before="117" w:line="235" w:lineRule="auto"/>
        <w:ind w:left="851" w:right="297"/>
        <w:rPr>
          <w:sz w:val="22"/>
          <w:szCs w:val="22"/>
          <w:lang w:val="en-GB"/>
        </w:rPr>
      </w:pPr>
    </w:p>
    <w:p w14:paraId="000E2FDD" w14:textId="329F4E00" w:rsidR="000B6C92" w:rsidRPr="0066168F" w:rsidRDefault="000B6C92" w:rsidP="001E108F">
      <w:pPr>
        <w:pStyle w:val="BodyText"/>
        <w:spacing w:before="117" w:line="235" w:lineRule="auto"/>
        <w:ind w:left="851" w:right="297"/>
        <w:rPr>
          <w:b/>
          <w:bCs/>
          <w:sz w:val="22"/>
          <w:szCs w:val="22"/>
          <w:lang w:val="en-GB"/>
        </w:rPr>
      </w:pPr>
      <w:r w:rsidRPr="0066168F">
        <w:rPr>
          <w:b/>
          <w:bCs/>
          <w:sz w:val="22"/>
          <w:szCs w:val="22"/>
          <w:lang w:val="en-GB"/>
        </w:rPr>
        <w:t>Safeguarding Policies</w:t>
      </w:r>
    </w:p>
    <w:p w14:paraId="042E5EBD" w14:textId="5C2B8E90" w:rsidR="000B6C92" w:rsidRPr="0066168F" w:rsidRDefault="000B6C92" w:rsidP="000B6C92">
      <w:pPr>
        <w:pStyle w:val="BodyText"/>
        <w:spacing w:before="117" w:line="235" w:lineRule="auto"/>
        <w:ind w:left="851" w:right="297"/>
        <w:rPr>
          <w:sz w:val="22"/>
          <w:szCs w:val="22"/>
          <w:lang w:val="en-GB"/>
        </w:rPr>
      </w:pPr>
      <w:r w:rsidRPr="0066168F">
        <w:rPr>
          <w:sz w:val="22"/>
          <w:szCs w:val="22"/>
          <w:lang w:val="en-GB"/>
        </w:rPr>
        <w:t xml:space="preserve">Members welcomed the review of safeguarding arrangements and the separation of Adult and Children Safeguarding Policies, recognising the benefits of clearer alignment with legislation and best practice. </w:t>
      </w:r>
    </w:p>
    <w:p w14:paraId="01F529D1" w14:textId="506F5070" w:rsidR="000B6C92" w:rsidRPr="0066168F" w:rsidRDefault="000B6C92" w:rsidP="000B6C92">
      <w:pPr>
        <w:pStyle w:val="BodyText"/>
        <w:spacing w:before="117" w:line="235" w:lineRule="auto"/>
        <w:ind w:left="851" w:right="297"/>
        <w:rPr>
          <w:sz w:val="22"/>
          <w:szCs w:val="22"/>
          <w:lang w:val="en-GB"/>
        </w:rPr>
      </w:pPr>
      <w:r w:rsidRPr="0066168F">
        <w:rPr>
          <w:sz w:val="22"/>
          <w:szCs w:val="22"/>
          <w:lang w:val="en-GB"/>
        </w:rPr>
        <w:t xml:space="preserve">The increasing volume of safeguarding cases emphasised the importance of effective policies, colleague training and partnership working. </w:t>
      </w:r>
    </w:p>
    <w:p w14:paraId="3551F066" w14:textId="4F1BF1AA" w:rsidR="000B6C92" w:rsidRPr="0066168F" w:rsidRDefault="000B6C92" w:rsidP="000B6C92">
      <w:pPr>
        <w:pStyle w:val="BodyText"/>
        <w:spacing w:before="117" w:line="235" w:lineRule="auto"/>
        <w:ind w:left="851" w:right="297"/>
        <w:rPr>
          <w:sz w:val="22"/>
          <w:szCs w:val="22"/>
          <w:lang w:val="en-GB"/>
        </w:rPr>
      </w:pPr>
      <w:r w:rsidRPr="0066168F">
        <w:rPr>
          <w:sz w:val="22"/>
          <w:szCs w:val="22"/>
          <w:lang w:val="en-GB"/>
        </w:rPr>
        <w:t xml:space="preserve">Discussion focused on customer safety, confidentiality and support mechanisms. Panel members identified a need for greater clarity within policy documents regarding Platform's role in safeguarding and how customers who report concerns are protected. </w:t>
      </w:r>
    </w:p>
    <w:p w14:paraId="238038C0" w14:textId="6694F507" w:rsidR="000B6C92" w:rsidRPr="0066168F" w:rsidRDefault="000B6C92" w:rsidP="000B6C92">
      <w:pPr>
        <w:pStyle w:val="BodyText"/>
        <w:spacing w:before="117" w:line="235" w:lineRule="auto"/>
        <w:ind w:left="851" w:right="297"/>
        <w:rPr>
          <w:sz w:val="22"/>
          <w:szCs w:val="22"/>
          <w:lang w:val="en-GB"/>
        </w:rPr>
      </w:pPr>
      <w:r w:rsidRPr="0066168F">
        <w:rPr>
          <w:sz w:val="22"/>
          <w:szCs w:val="22"/>
          <w:lang w:val="en-GB"/>
        </w:rPr>
        <w:t>The Panel received assurance regarding mandatory training, contractor safeguarding requirements, internal audits and positive external assurance outcomes.</w:t>
      </w:r>
    </w:p>
    <w:p w14:paraId="75B08FDF" w14:textId="2485C40D" w:rsidR="00D56BC3" w:rsidRPr="0066168F" w:rsidRDefault="00D56BC3" w:rsidP="00D56BC3">
      <w:pPr>
        <w:pStyle w:val="BodyText"/>
        <w:spacing w:before="117" w:line="235" w:lineRule="auto"/>
        <w:ind w:left="851" w:right="297"/>
        <w:rPr>
          <w:b/>
          <w:bCs/>
          <w:sz w:val="22"/>
          <w:szCs w:val="22"/>
          <w:lang w:val="en-GB"/>
        </w:rPr>
      </w:pPr>
      <w:r w:rsidRPr="0066168F">
        <w:rPr>
          <w:b/>
          <w:bCs/>
          <w:sz w:val="22"/>
          <w:szCs w:val="22"/>
          <w:lang w:val="en-GB"/>
        </w:rPr>
        <w:t>Recommendations and Actions</w:t>
      </w:r>
    </w:p>
    <w:p w14:paraId="79F45F10" w14:textId="00B7A49F" w:rsidR="00583D58" w:rsidRPr="0066168F" w:rsidRDefault="00583D58" w:rsidP="00583D58">
      <w:pPr>
        <w:pStyle w:val="BodyText"/>
        <w:numPr>
          <w:ilvl w:val="0"/>
          <w:numId w:val="3"/>
        </w:numPr>
        <w:spacing w:before="117" w:line="235" w:lineRule="auto"/>
        <w:ind w:right="297"/>
        <w:rPr>
          <w:sz w:val="22"/>
          <w:szCs w:val="22"/>
          <w:lang w:val="en-GB"/>
        </w:rPr>
      </w:pPr>
      <w:r w:rsidRPr="0066168F">
        <w:rPr>
          <w:sz w:val="22"/>
          <w:szCs w:val="22"/>
          <w:lang w:val="en-GB"/>
        </w:rPr>
        <w:t xml:space="preserve">Strengthen policy wording to clearly explain Platform's safeguarding responsibilities and limitations as a non-statutory safeguarding partner. </w:t>
      </w:r>
    </w:p>
    <w:p w14:paraId="2EEFEF16" w14:textId="660CFFF3" w:rsidR="00583D58" w:rsidRPr="0066168F" w:rsidRDefault="00583D58" w:rsidP="00583D58">
      <w:pPr>
        <w:pStyle w:val="BodyText"/>
        <w:numPr>
          <w:ilvl w:val="0"/>
          <w:numId w:val="3"/>
        </w:numPr>
        <w:spacing w:before="117" w:line="235" w:lineRule="auto"/>
        <w:ind w:right="297"/>
        <w:rPr>
          <w:sz w:val="22"/>
          <w:szCs w:val="22"/>
          <w:lang w:val="en-GB"/>
        </w:rPr>
      </w:pPr>
      <w:r w:rsidRPr="0066168F">
        <w:rPr>
          <w:sz w:val="22"/>
          <w:szCs w:val="22"/>
          <w:lang w:val="en-GB"/>
        </w:rPr>
        <w:t xml:space="preserve">Enhance guidance within policies regarding confidentiality and the protections available to customers who raise safeguarding concerns. </w:t>
      </w:r>
    </w:p>
    <w:p w14:paraId="45B3E5A6" w14:textId="3C46FF04" w:rsidR="00583D58" w:rsidRPr="0066168F" w:rsidRDefault="00583D58" w:rsidP="00583D58">
      <w:pPr>
        <w:pStyle w:val="BodyText"/>
        <w:numPr>
          <w:ilvl w:val="0"/>
          <w:numId w:val="3"/>
        </w:numPr>
        <w:spacing w:before="117" w:line="235" w:lineRule="auto"/>
        <w:ind w:right="297"/>
        <w:rPr>
          <w:sz w:val="22"/>
          <w:szCs w:val="22"/>
          <w:lang w:val="en-GB"/>
        </w:rPr>
      </w:pPr>
      <w:r w:rsidRPr="0066168F">
        <w:rPr>
          <w:sz w:val="22"/>
          <w:szCs w:val="22"/>
          <w:lang w:val="en-GB"/>
        </w:rPr>
        <w:t xml:space="preserve">Continue promoting safeguarding awareness through regular colleague training, contractor engagement and assurance activity. </w:t>
      </w:r>
    </w:p>
    <w:p w14:paraId="217DF629" w14:textId="09CA8410" w:rsidR="00583D58" w:rsidRPr="0066168F" w:rsidRDefault="00583D58" w:rsidP="00583D58">
      <w:pPr>
        <w:pStyle w:val="BodyText"/>
        <w:numPr>
          <w:ilvl w:val="0"/>
          <w:numId w:val="3"/>
        </w:numPr>
        <w:spacing w:before="117" w:line="235" w:lineRule="auto"/>
        <w:ind w:right="297"/>
        <w:rPr>
          <w:sz w:val="22"/>
          <w:szCs w:val="22"/>
          <w:lang w:val="en-GB"/>
        </w:rPr>
      </w:pPr>
      <w:r w:rsidRPr="0066168F">
        <w:rPr>
          <w:sz w:val="22"/>
          <w:szCs w:val="22"/>
          <w:lang w:val="en-GB"/>
        </w:rPr>
        <w:t xml:space="preserve">Encourage ongoing customer involvement in policy review processes to ensure documents remain accessible and </w:t>
      </w:r>
      <w:proofErr w:type="gramStart"/>
      <w:r w:rsidRPr="0066168F">
        <w:rPr>
          <w:sz w:val="22"/>
          <w:szCs w:val="22"/>
          <w:lang w:val="en-GB"/>
        </w:rPr>
        <w:t>customer-focused</w:t>
      </w:r>
      <w:proofErr w:type="gramEnd"/>
      <w:r w:rsidRPr="0066168F">
        <w:rPr>
          <w:sz w:val="22"/>
          <w:szCs w:val="22"/>
          <w:lang w:val="en-GB"/>
        </w:rPr>
        <w:t>.</w:t>
      </w:r>
    </w:p>
    <w:p w14:paraId="43E26024" w14:textId="3E3B9D93" w:rsidR="00BD3AA1" w:rsidRPr="0066168F" w:rsidRDefault="00BD3AA1" w:rsidP="00BD3AA1">
      <w:pPr>
        <w:pStyle w:val="BodyText"/>
        <w:spacing w:before="117" w:line="235" w:lineRule="auto"/>
        <w:ind w:left="851" w:right="297"/>
        <w:rPr>
          <w:sz w:val="22"/>
          <w:szCs w:val="22"/>
          <w:lang w:val="en-GB"/>
        </w:rPr>
      </w:pPr>
    </w:p>
    <w:p w14:paraId="5DC00F51" w14:textId="1B931D90" w:rsidR="00BD3AA1" w:rsidRPr="0066168F" w:rsidRDefault="00BD3AA1" w:rsidP="00BD3AA1">
      <w:pPr>
        <w:pStyle w:val="BodyText"/>
        <w:spacing w:before="117" w:line="235" w:lineRule="auto"/>
        <w:ind w:left="851" w:right="297"/>
        <w:rPr>
          <w:b/>
          <w:bCs/>
          <w:sz w:val="22"/>
          <w:szCs w:val="22"/>
          <w:lang w:val="en-GB"/>
        </w:rPr>
      </w:pPr>
      <w:r w:rsidRPr="0066168F">
        <w:rPr>
          <w:b/>
          <w:bCs/>
          <w:sz w:val="22"/>
          <w:szCs w:val="22"/>
        </w:rPr>
        <w:t xml:space="preserve">Ministry of Housing, Communities &amp; Local Government Panel </w:t>
      </w:r>
      <w:r w:rsidRPr="0066168F">
        <w:rPr>
          <w:b/>
          <w:bCs/>
          <w:sz w:val="22"/>
          <w:szCs w:val="22"/>
          <w:lang w:val="en-GB"/>
        </w:rPr>
        <w:t>Engagement Preparation</w:t>
      </w:r>
    </w:p>
    <w:p w14:paraId="2616518E" w14:textId="449179D3" w:rsidR="003D29FE" w:rsidRPr="0066168F" w:rsidRDefault="003D29FE" w:rsidP="003D29FE">
      <w:pPr>
        <w:pStyle w:val="BodyText"/>
        <w:spacing w:before="117" w:line="235" w:lineRule="auto"/>
        <w:ind w:left="851" w:right="297"/>
        <w:rPr>
          <w:sz w:val="22"/>
          <w:szCs w:val="22"/>
          <w:lang w:val="en-GB"/>
        </w:rPr>
      </w:pPr>
      <w:r w:rsidRPr="0066168F">
        <w:rPr>
          <w:sz w:val="22"/>
          <w:szCs w:val="22"/>
          <w:lang w:val="en-GB"/>
        </w:rPr>
        <w:t xml:space="preserve">Members actively contributed to the development of questions for engagement sessions with shortlisted candidates and demonstrated a strong focus on accountability, complaint handling, customer influence and transparency within the housing sector. </w:t>
      </w:r>
    </w:p>
    <w:p w14:paraId="414371F4" w14:textId="53BBC73A" w:rsidR="003D29FE" w:rsidRPr="0066168F" w:rsidRDefault="003D29FE" w:rsidP="003D29FE">
      <w:pPr>
        <w:pStyle w:val="BodyText"/>
        <w:spacing w:before="117" w:line="235" w:lineRule="auto"/>
        <w:ind w:left="851" w:right="297"/>
        <w:rPr>
          <w:sz w:val="22"/>
          <w:szCs w:val="22"/>
          <w:lang w:val="en-GB"/>
        </w:rPr>
      </w:pPr>
      <w:r w:rsidRPr="0066168F">
        <w:rPr>
          <w:sz w:val="22"/>
          <w:szCs w:val="22"/>
          <w:lang w:val="en-GB"/>
        </w:rPr>
        <w:t>The significant increase in Housing Ombudsman complaints reinforced members' interest in understanding how national housing bodies intend to drive improvements in landlord performance and customer outcomes</w:t>
      </w:r>
      <w:r w:rsidR="0078303F" w:rsidRPr="0066168F">
        <w:rPr>
          <w:sz w:val="22"/>
          <w:szCs w:val="22"/>
          <w:lang w:val="en-GB"/>
        </w:rPr>
        <w:t>.</w:t>
      </w:r>
    </w:p>
    <w:p w14:paraId="15D0E890" w14:textId="5B767542" w:rsidR="0078303F" w:rsidRPr="0066168F" w:rsidRDefault="0078303F" w:rsidP="003D29FE">
      <w:pPr>
        <w:pStyle w:val="BodyText"/>
        <w:spacing w:before="117" w:line="235" w:lineRule="auto"/>
        <w:ind w:left="851" w:right="297"/>
        <w:rPr>
          <w:b/>
          <w:bCs/>
          <w:sz w:val="22"/>
          <w:szCs w:val="22"/>
          <w:lang w:val="en-GB"/>
        </w:rPr>
      </w:pPr>
      <w:r w:rsidRPr="0066168F">
        <w:rPr>
          <w:b/>
          <w:bCs/>
          <w:sz w:val="22"/>
          <w:szCs w:val="22"/>
          <w:lang w:val="en-GB"/>
        </w:rPr>
        <w:t>Recommendations and Actions</w:t>
      </w:r>
    </w:p>
    <w:p w14:paraId="0D284B36" w14:textId="21066735" w:rsidR="0078303F" w:rsidRPr="0066168F" w:rsidRDefault="0078303F" w:rsidP="0078303F">
      <w:pPr>
        <w:pStyle w:val="BodyText"/>
        <w:spacing w:before="117" w:line="235" w:lineRule="auto"/>
        <w:ind w:left="851" w:right="297"/>
        <w:rPr>
          <w:sz w:val="22"/>
          <w:szCs w:val="22"/>
          <w:lang w:val="en-GB"/>
        </w:rPr>
      </w:pPr>
      <w:r w:rsidRPr="0066168F">
        <w:rPr>
          <w:sz w:val="22"/>
          <w:szCs w:val="22"/>
          <w:lang w:val="en-GB"/>
        </w:rPr>
        <w:t xml:space="preserve">Continue to champion the customer voice in discussions with external stakeholders and regulators. </w:t>
      </w:r>
    </w:p>
    <w:p w14:paraId="5DDA0FDC" w14:textId="1DE52C50" w:rsidR="0078303F" w:rsidRPr="0066168F" w:rsidRDefault="0078303F" w:rsidP="0078303F">
      <w:pPr>
        <w:pStyle w:val="BodyText"/>
        <w:spacing w:before="117" w:line="235" w:lineRule="auto"/>
        <w:ind w:left="851" w:right="297"/>
        <w:rPr>
          <w:sz w:val="22"/>
          <w:szCs w:val="22"/>
          <w:lang w:val="en-GB"/>
        </w:rPr>
      </w:pPr>
      <w:r w:rsidRPr="0066168F">
        <w:rPr>
          <w:sz w:val="22"/>
          <w:szCs w:val="22"/>
          <w:lang w:val="en-GB"/>
        </w:rPr>
        <w:t>Focus future engagement on complaint resolution, landlord accountability, customer influence and service improvement outcomes.</w:t>
      </w:r>
    </w:p>
    <w:p w14:paraId="7FD49BD3" w14:textId="267DE2FB" w:rsidR="0066168F" w:rsidRDefault="0066168F" w:rsidP="003A7D8B">
      <w:pPr>
        <w:pStyle w:val="paragraph"/>
        <w:spacing w:before="0" w:beforeAutospacing="0" w:after="0" w:afterAutospacing="0"/>
        <w:ind w:left="851"/>
        <w:jc w:val="both"/>
        <w:textAlignment w:val="baseline"/>
        <w:rPr>
          <w:rFonts w:ascii="Calibri" w:hAnsi="Calibri" w:cs="Calibri"/>
          <w:b/>
          <w:bCs/>
          <w:color w:val="8DC63F"/>
          <w:spacing w:val="-13"/>
          <w:sz w:val="36"/>
          <w:szCs w:val="36"/>
        </w:rPr>
      </w:pPr>
    </w:p>
    <w:p w14:paraId="6BE5E3FF" w14:textId="77777777" w:rsidR="00AD7C26" w:rsidRDefault="00AD7C26" w:rsidP="003A7D8B">
      <w:pPr>
        <w:pStyle w:val="paragraph"/>
        <w:spacing w:before="0" w:beforeAutospacing="0" w:after="0" w:afterAutospacing="0"/>
        <w:ind w:left="851"/>
        <w:jc w:val="both"/>
        <w:textAlignment w:val="baseline"/>
        <w:rPr>
          <w:rFonts w:ascii="Calibri" w:hAnsi="Calibri" w:cs="Calibri"/>
          <w:b/>
          <w:bCs/>
          <w:color w:val="8DC63F"/>
          <w:spacing w:val="-13"/>
          <w:sz w:val="36"/>
          <w:szCs w:val="36"/>
        </w:rPr>
      </w:pPr>
    </w:p>
    <w:p w14:paraId="60EB04FE" w14:textId="77777777" w:rsidR="00AD7C26" w:rsidRDefault="00AD7C26" w:rsidP="003A7D8B">
      <w:pPr>
        <w:pStyle w:val="paragraph"/>
        <w:spacing w:before="0" w:beforeAutospacing="0" w:after="0" w:afterAutospacing="0"/>
        <w:ind w:left="851"/>
        <w:jc w:val="both"/>
        <w:textAlignment w:val="baseline"/>
        <w:rPr>
          <w:rFonts w:ascii="Calibri" w:hAnsi="Calibri" w:cs="Calibri"/>
          <w:b/>
          <w:bCs/>
          <w:color w:val="8DC63F"/>
          <w:spacing w:val="-13"/>
          <w:sz w:val="36"/>
          <w:szCs w:val="36"/>
        </w:rPr>
      </w:pPr>
    </w:p>
    <w:p w14:paraId="24D42D08" w14:textId="77777777" w:rsidR="00AD7C26" w:rsidRDefault="00AD7C26" w:rsidP="003A7D8B">
      <w:pPr>
        <w:pStyle w:val="paragraph"/>
        <w:spacing w:before="0" w:beforeAutospacing="0" w:after="0" w:afterAutospacing="0"/>
        <w:ind w:left="851"/>
        <w:jc w:val="both"/>
        <w:textAlignment w:val="baseline"/>
        <w:rPr>
          <w:rFonts w:ascii="Calibri" w:hAnsi="Calibri" w:cs="Calibri"/>
          <w:b/>
          <w:bCs/>
          <w:color w:val="8DC63F"/>
          <w:spacing w:val="-13"/>
          <w:sz w:val="36"/>
          <w:szCs w:val="36"/>
        </w:rPr>
      </w:pPr>
    </w:p>
    <w:p w14:paraId="2688F152" w14:textId="7E9DA6E4" w:rsidR="00AD7C26" w:rsidRDefault="00AD7C26" w:rsidP="003A7D8B">
      <w:pPr>
        <w:pStyle w:val="paragraph"/>
        <w:spacing w:before="0" w:beforeAutospacing="0" w:after="0" w:afterAutospacing="0"/>
        <w:ind w:left="851"/>
        <w:jc w:val="both"/>
        <w:textAlignment w:val="baseline"/>
        <w:rPr>
          <w:rFonts w:ascii="Calibri" w:hAnsi="Calibri" w:cs="Calibri"/>
          <w:b/>
          <w:bCs/>
          <w:color w:val="8DC63F"/>
          <w:spacing w:val="-13"/>
          <w:sz w:val="36"/>
          <w:szCs w:val="36"/>
        </w:rPr>
      </w:pPr>
    </w:p>
    <w:p w14:paraId="56FC7867" w14:textId="0A0EE8DD" w:rsidR="00AD7C26" w:rsidRDefault="00AD7C26" w:rsidP="003A7D8B">
      <w:pPr>
        <w:pStyle w:val="paragraph"/>
        <w:spacing w:before="0" w:beforeAutospacing="0" w:after="0" w:afterAutospacing="0"/>
        <w:ind w:left="851"/>
        <w:jc w:val="both"/>
        <w:textAlignment w:val="baseline"/>
        <w:rPr>
          <w:rFonts w:ascii="Calibri" w:hAnsi="Calibri" w:cs="Calibri"/>
          <w:b/>
          <w:bCs/>
          <w:color w:val="8DC63F"/>
          <w:spacing w:val="-13"/>
          <w:sz w:val="36"/>
          <w:szCs w:val="36"/>
        </w:rPr>
      </w:pPr>
      <w:r>
        <w:rPr>
          <w:noProof/>
        </w:rPr>
        <w:lastRenderedPageBreak/>
        <w:drawing>
          <wp:anchor distT="0" distB="0" distL="0" distR="0" simplePos="0" relativeHeight="487542272" behindDoc="1" locked="0" layoutInCell="1" allowOverlap="1" wp14:anchorId="2756A936" wp14:editId="31CE44CF">
            <wp:simplePos x="0" y="0"/>
            <wp:positionH relativeFrom="page">
              <wp:posOffset>15240</wp:posOffset>
            </wp:positionH>
            <wp:positionV relativeFrom="page">
              <wp:posOffset>15240</wp:posOffset>
            </wp:positionV>
            <wp:extent cx="7559999" cy="10692000"/>
            <wp:effectExtent l="0" t="0" r="3175" b="0"/>
            <wp:wrapNone/>
            <wp:docPr id="3" name="Image 3"/>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3" name="Image 3"/>
                    <pic:cNvPicPr/>
                  </pic:nvPicPr>
                  <pic:blipFill>
                    <a:blip r:embed="rId6" cstate="print"/>
                    <a:stretch>
                      <a:fillRect/>
                    </a:stretch>
                  </pic:blipFill>
                  <pic:spPr>
                    <a:xfrm>
                      <a:off x="0" y="0"/>
                      <a:ext cx="7559999" cy="10692000"/>
                    </a:xfrm>
                    <a:prstGeom prst="rect">
                      <a:avLst/>
                    </a:prstGeom>
                  </pic:spPr>
                </pic:pic>
              </a:graphicData>
            </a:graphic>
          </wp:anchor>
        </w:drawing>
      </w:r>
    </w:p>
    <w:p w14:paraId="66CB0E47" w14:textId="2758BA6C" w:rsidR="003A7D8B" w:rsidRDefault="003A7D8B" w:rsidP="003A7D8B">
      <w:pPr>
        <w:pStyle w:val="paragraph"/>
        <w:spacing w:before="0" w:beforeAutospacing="0" w:after="0" w:afterAutospacing="0"/>
        <w:ind w:left="851"/>
        <w:jc w:val="both"/>
        <w:textAlignment w:val="baseline"/>
        <w:rPr>
          <w:rFonts w:ascii="Calibri" w:hAnsi="Calibri" w:cs="Calibri"/>
          <w:b/>
          <w:bCs/>
          <w:color w:val="8DC63F"/>
          <w:spacing w:val="-13"/>
          <w:sz w:val="36"/>
          <w:szCs w:val="36"/>
        </w:rPr>
      </w:pPr>
      <w:r>
        <w:rPr>
          <w:rFonts w:ascii="Calibri" w:hAnsi="Calibri" w:cs="Calibri"/>
          <w:b/>
          <w:bCs/>
          <w:color w:val="8DC63F"/>
          <w:spacing w:val="-13"/>
          <w:sz w:val="36"/>
          <w:szCs w:val="36"/>
        </w:rPr>
        <w:t>Chair’s Thoughts</w:t>
      </w:r>
    </w:p>
    <w:p w14:paraId="7DAD182D" w14:textId="703376B7" w:rsidR="00EE6414" w:rsidRPr="00C35751" w:rsidRDefault="00A019D5" w:rsidP="00C35751">
      <w:pPr>
        <w:pStyle w:val="BodyText"/>
        <w:spacing w:before="76" w:line="235" w:lineRule="auto"/>
        <w:ind w:left="851"/>
        <w:rPr>
          <w:sz w:val="22"/>
          <w:szCs w:val="22"/>
        </w:rPr>
        <w:sectPr w:rsidR="00EE6414" w:rsidRPr="00C35751">
          <w:type w:val="continuous"/>
          <w:pgSz w:w="11910" w:h="16840"/>
          <w:pgMar w:top="560" w:right="566" w:bottom="280" w:left="1700" w:header="720" w:footer="720" w:gutter="0"/>
          <w:cols w:space="720"/>
        </w:sectPr>
      </w:pPr>
      <w:r w:rsidRPr="0066168F">
        <w:rPr>
          <w:color w:val="231F20"/>
          <w:sz w:val="22"/>
          <w:szCs w:val="22"/>
          <w:lang w:val="en-GB"/>
        </w:rPr>
        <w:t>The Panel demonstrated constructive challenge and engagement across all agenda items. Discussions reflected a strong focus on representation, customer influence, safeguarding, accountability and measurable social value outcomes. Members welcomed the progress being made in each area while identifying opportunities to strengthen transparency, customer involvement and continuous improvement</w:t>
      </w:r>
      <w:r w:rsidR="003A7D8B" w:rsidRPr="0066168F">
        <w:rPr>
          <w:color w:val="231F20"/>
          <w:sz w:val="22"/>
          <w:szCs w:val="22"/>
        </w:rPr>
        <w:t>.</w:t>
      </w:r>
    </w:p>
    <w:p w14:paraId="782686A5" w14:textId="54503663" w:rsidR="00EE6414" w:rsidRDefault="00EE6414" w:rsidP="00C35751">
      <w:pPr>
        <w:pStyle w:val="BodyText"/>
        <w:spacing w:before="77" w:line="235" w:lineRule="auto"/>
      </w:pPr>
    </w:p>
    <w:sectPr w:rsidR="00EE6414">
      <w:pgSz w:w="11910" w:h="16840"/>
      <w:pgMar w:top="540" w:right="566" w:bottom="280" w:left="170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D6B3D71"/>
    <w:multiLevelType w:val="hybridMultilevel"/>
    <w:tmpl w:val="CD780544"/>
    <w:lvl w:ilvl="0" w:tplc="08090001">
      <w:start w:val="1"/>
      <w:numFmt w:val="bullet"/>
      <w:lvlText w:val=""/>
      <w:lvlJc w:val="left"/>
      <w:pPr>
        <w:ind w:left="1211" w:hanging="360"/>
      </w:pPr>
      <w:rPr>
        <w:rFonts w:ascii="Symbol" w:hAnsi="Symbol" w:hint="default"/>
      </w:rPr>
    </w:lvl>
    <w:lvl w:ilvl="1" w:tplc="08090003" w:tentative="1">
      <w:start w:val="1"/>
      <w:numFmt w:val="bullet"/>
      <w:lvlText w:val="o"/>
      <w:lvlJc w:val="left"/>
      <w:pPr>
        <w:ind w:left="1931" w:hanging="360"/>
      </w:pPr>
      <w:rPr>
        <w:rFonts w:ascii="Courier New" w:hAnsi="Courier New" w:cs="Courier New" w:hint="default"/>
      </w:rPr>
    </w:lvl>
    <w:lvl w:ilvl="2" w:tplc="08090005" w:tentative="1">
      <w:start w:val="1"/>
      <w:numFmt w:val="bullet"/>
      <w:lvlText w:val=""/>
      <w:lvlJc w:val="left"/>
      <w:pPr>
        <w:ind w:left="2651" w:hanging="360"/>
      </w:pPr>
      <w:rPr>
        <w:rFonts w:ascii="Wingdings" w:hAnsi="Wingdings" w:hint="default"/>
      </w:rPr>
    </w:lvl>
    <w:lvl w:ilvl="3" w:tplc="08090001" w:tentative="1">
      <w:start w:val="1"/>
      <w:numFmt w:val="bullet"/>
      <w:lvlText w:val=""/>
      <w:lvlJc w:val="left"/>
      <w:pPr>
        <w:ind w:left="3371" w:hanging="360"/>
      </w:pPr>
      <w:rPr>
        <w:rFonts w:ascii="Symbol" w:hAnsi="Symbol" w:hint="default"/>
      </w:rPr>
    </w:lvl>
    <w:lvl w:ilvl="4" w:tplc="08090003" w:tentative="1">
      <w:start w:val="1"/>
      <w:numFmt w:val="bullet"/>
      <w:lvlText w:val="o"/>
      <w:lvlJc w:val="left"/>
      <w:pPr>
        <w:ind w:left="4091" w:hanging="360"/>
      </w:pPr>
      <w:rPr>
        <w:rFonts w:ascii="Courier New" w:hAnsi="Courier New" w:cs="Courier New" w:hint="default"/>
      </w:rPr>
    </w:lvl>
    <w:lvl w:ilvl="5" w:tplc="08090005" w:tentative="1">
      <w:start w:val="1"/>
      <w:numFmt w:val="bullet"/>
      <w:lvlText w:val=""/>
      <w:lvlJc w:val="left"/>
      <w:pPr>
        <w:ind w:left="4811" w:hanging="360"/>
      </w:pPr>
      <w:rPr>
        <w:rFonts w:ascii="Wingdings" w:hAnsi="Wingdings" w:hint="default"/>
      </w:rPr>
    </w:lvl>
    <w:lvl w:ilvl="6" w:tplc="08090001" w:tentative="1">
      <w:start w:val="1"/>
      <w:numFmt w:val="bullet"/>
      <w:lvlText w:val=""/>
      <w:lvlJc w:val="left"/>
      <w:pPr>
        <w:ind w:left="5531" w:hanging="360"/>
      </w:pPr>
      <w:rPr>
        <w:rFonts w:ascii="Symbol" w:hAnsi="Symbol" w:hint="default"/>
      </w:rPr>
    </w:lvl>
    <w:lvl w:ilvl="7" w:tplc="08090003" w:tentative="1">
      <w:start w:val="1"/>
      <w:numFmt w:val="bullet"/>
      <w:lvlText w:val="o"/>
      <w:lvlJc w:val="left"/>
      <w:pPr>
        <w:ind w:left="6251" w:hanging="360"/>
      </w:pPr>
      <w:rPr>
        <w:rFonts w:ascii="Courier New" w:hAnsi="Courier New" w:cs="Courier New" w:hint="default"/>
      </w:rPr>
    </w:lvl>
    <w:lvl w:ilvl="8" w:tplc="08090005" w:tentative="1">
      <w:start w:val="1"/>
      <w:numFmt w:val="bullet"/>
      <w:lvlText w:val=""/>
      <w:lvlJc w:val="left"/>
      <w:pPr>
        <w:ind w:left="6971" w:hanging="360"/>
      </w:pPr>
      <w:rPr>
        <w:rFonts w:ascii="Wingdings" w:hAnsi="Wingdings" w:hint="default"/>
      </w:rPr>
    </w:lvl>
  </w:abstractNum>
  <w:abstractNum w:abstractNumId="1" w15:restartNumberingAfterBreak="0">
    <w:nsid w:val="51D63697"/>
    <w:multiLevelType w:val="hybridMultilevel"/>
    <w:tmpl w:val="03A4094E"/>
    <w:lvl w:ilvl="0" w:tplc="08090001">
      <w:start w:val="1"/>
      <w:numFmt w:val="bullet"/>
      <w:lvlText w:val=""/>
      <w:lvlJc w:val="left"/>
      <w:pPr>
        <w:ind w:left="1211" w:hanging="360"/>
      </w:pPr>
      <w:rPr>
        <w:rFonts w:ascii="Symbol" w:hAnsi="Symbol" w:hint="default"/>
      </w:rPr>
    </w:lvl>
    <w:lvl w:ilvl="1" w:tplc="08090003" w:tentative="1">
      <w:start w:val="1"/>
      <w:numFmt w:val="bullet"/>
      <w:lvlText w:val="o"/>
      <w:lvlJc w:val="left"/>
      <w:pPr>
        <w:ind w:left="1931" w:hanging="360"/>
      </w:pPr>
      <w:rPr>
        <w:rFonts w:ascii="Courier New" w:hAnsi="Courier New" w:cs="Courier New" w:hint="default"/>
      </w:rPr>
    </w:lvl>
    <w:lvl w:ilvl="2" w:tplc="08090005" w:tentative="1">
      <w:start w:val="1"/>
      <w:numFmt w:val="bullet"/>
      <w:lvlText w:val=""/>
      <w:lvlJc w:val="left"/>
      <w:pPr>
        <w:ind w:left="2651" w:hanging="360"/>
      </w:pPr>
      <w:rPr>
        <w:rFonts w:ascii="Wingdings" w:hAnsi="Wingdings" w:hint="default"/>
      </w:rPr>
    </w:lvl>
    <w:lvl w:ilvl="3" w:tplc="08090001" w:tentative="1">
      <w:start w:val="1"/>
      <w:numFmt w:val="bullet"/>
      <w:lvlText w:val=""/>
      <w:lvlJc w:val="left"/>
      <w:pPr>
        <w:ind w:left="3371" w:hanging="360"/>
      </w:pPr>
      <w:rPr>
        <w:rFonts w:ascii="Symbol" w:hAnsi="Symbol" w:hint="default"/>
      </w:rPr>
    </w:lvl>
    <w:lvl w:ilvl="4" w:tplc="08090003" w:tentative="1">
      <w:start w:val="1"/>
      <w:numFmt w:val="bullet"/>
      <w:lvlText w:val="o"/>
      <w:lvlJc w:val="left"/>
      <w:pPr>
        <w:ind w:left="4091" w:hanging="360"/>
      </w:pPr>
      <w:rPr>
        <w:rFonts w:ascii="Courier New" w:hAnsi="Courier New" w:cs="Courier New" w:hint="default"/>
      </w:rPr>
    </w:lvl>
    <w:lvl w:ilvl="5" w:tplc="08090005" w:tentative="1">
      <w:start w:val="1"/>
      <w:numFmt w:val="bullet"/>
      <w:lvlText w:val=""/>
      <w:lvlJc w:val="left"/>
      <w:pPr>
        <w:ind w:left="4811" w:hanging="360"/>
      </w:pPr>
      <w:rPr>
        <w:rFonts w:ascii="Wingdings" w:hAnsi="Wingdings" w:hint="default"/>
      </w:rPr>
    </w:lvl>
    <w:lvl w:ilvl="6" w:tplc="08090001" w:tentative="1">
      <w:start w:val="1"/>
      <w:numFmt w:val="bullet"/>
      <w:lvlText w:val=""/>
      <w:lvlJc w:val="left"/>
      <w:pPr>
        <w:ind w:left="5531" w:hanging="360"/>
      </w:pPr>
      <w:rPr>
        <w:rFonts w:ascii="Symbol" w:hAnsi="Symbol" w:hint="default"/>
      </w:rPr>
    </w:lvl>
    <w:lvl w:ilvl="7" w:tplc="08090003" w:tentative="1">
      <w:start w:val="1"/>
      <w:numFmt w:val="bullet"/>
      <w:lvlText w:val="o"/>
      <w:lvlJc w:val="left"/>
      <w:pPr>
        <w:ind w:left="6251" w:hanging="360"/>
      </w:pPr>
      <w:rPr>
        <w:rFonts w:ascii="Courier New" w:hAnsi="Courier New" w:cs="Courier New" w:hint="default"/>
      </w:rPr>
    </w:lvl>
    <w:lvl w:ilvl="8" w:tplc="08090005" w:tentative="1">
      <w:start w:val="1"/>
      <w:numFmt w:val="bullet"/>
      <w:lvlText w:val=""/>
      <w:lvlJc w:val="left"/>
      <w:pPr>
        <w:ind w:left="6971" w:hanging="360"/>
      </w:pPr>
      <w:rPr>
        <w:rFonts w:ascii="Wingdings" w:hAnsi="Wingdings" w:hint="default"/>
      </w:rPr>
    </w:lvl>
  </w:abstractNum>
  <w:abstractNum w:abstractNumId="2" w15:restartNumberingAfterBreak="0">
    <w:nsid w:val="5C3F358F"/>
    <w:multiLevelType w:val="hybridMultilevel"/>
    <w:tmpl w:val="C2D646CC"/>
    <w:lvl w:ilvl="0" w:tplc="08090001">
      <w:start w:val="1"/>
      <w:numFmt w:val="bullet"/>
      <w:lvlText w:val=""/>
      <w:lvlJc w:val="left"/>
      <w:pPr>
        <w:ind w:left="1211" w:hanging="360"/>
      </w:pPr>
      <w:rPr>
        <w:rFonts w:ascii="Symbol" w:hAnsi="Symbol" w:hint="default"/>
      </w:rPr>
    </w:lvl>
    <w:lvl w:ilvl="1" w:tplc="08090003">
      <w:start w:val="1"/>
      <w:numFmt w:val="bullet"/>
      <w:lvlText w:val="o"/>
      <w:lvlJc w:val="left"/>
      <w:pPr>
        <w:ind w:left="1931" w:hanging="360"/>
      </w:pPr>
      <w:rPr>
        <w:rFonts w:ascii="Courier New" w:hAnsi="Courier New" w:cs="Courier New" w:hint="default"/>
      </w:rPr>
    </w:lvl>
    <w:lvl w:ilvl="2" w:tplc="08090005">
      <w:start w:val="1"/>
      <w:numFmt w:val="bullet"/>
      <w:lvlText w:val=""/>
      <w:lvlJc w:val="left"/>
      <w:pPr>
        <w:ind w:left="2651" w:hanging="360"/>
      </w:pPr>
      <w:rPr>
        <w:rFonts w:ascii="Wingdings" w:hAnsi="Wingdings" w:hint="default"/>
      </w:rPr>
    </w:lvl>
    <w:lvl w:ilvl="3" w:tplc="08090001" w:tentative="1">
      <w:start w:val="1"/>
      <w:numFmt w:val="bullet"/>
      <w:lvlText w:val=""/>
      <w:lvlJc w:val="left"/>
      <w:pPr>
        <w:ind w:left="3371" w:hanging="360"/>
      </w:pPr>
      <w:rPr>
        <w:rFonts w:ascii="Symbol" w:hAnsi="Symbol" w:hint="default"/>
      </w:rPr>
    </w:lvl>
    <w:lvl w:ilvl="4" w:tplc="08090003" w:tentative="1">
      <w:start w:val="1"/>
      <w:numFmt w:val="bullet"/>
      <w:lvlText w:val="o"/>
      <w:lvlJc w:val="left"/>
      <w:pPr>
        <w:ind w:left="4091" w:hanging="360"/>
      </w:pPr>
      <w:rPr>
        <w:rFonts w:ascii="Courier New" w:hAnsi="Courier New" w:cs="Courier New" w:hint="default"/>
      </w:rPr>
    </w:lvl>
    <w:lvl w:ilvl="5" w:tplc="08090005" w:tentative="1">
      <w:start w:val="1"/>
      <w:numFmt w:val="bullet"/>
      <w:lvlText w:val=""/>
      <w:lvlJc w:val="left"/>
      <w:pPr>
        <w:ind w:left="4811" w:hanging="360"/>
      </w:pPr>
      <w:rPr>
        <w:rFonts w:ascii="Wingdings" w:hAnsi="Wingdings" w:hint="default"/>
      </w:rPr>
    </w:lvl>
    <w:lvl w:ilvl="6" w:tplc="08090001" w:tentative="1">
      <w:start w:val="1"/>
      <w:numFmt w:val="bullet"/>
      <w:lvlText w:val=""/>
      <w:lvlJc w:val="left"/>
      <w:pPr>
        <w:ind w:left="5531" w:hanging="360"/>
      </w:pPr>
      <w:rPr>
        <w:rFonts w:ascii="Symbol" w:hAnsi="Symbol" w:hint="default"/>
      </w:rPr>
    </w:lvl>
    <w:lvl w:ilvl="7" w:tplc="08090003" w:tentative="1">
      <w:start w:val="1"/>
      <w:numFmt w:val="bullet"/>
      <w:lvlText w:val="o"/>
      <w:lvlJc w:val="left"/>
      <w:pPr>
        <w:ind w:left="6251" w:hanging="360"/>
      </w:pPr>
      <w:rPr>
        <w:rFonts w:ascii="Courier New" w:hAnsi="Courier New" w:cs="Courier New" w:hint="default"/>
      </w:rPr>
    </w:lvl>
    <w:lvl w:ilvl="8" w:tplc="08090005" w:tentative="1">
      <w:start w:val="1"/>
      <w:numFmt w:val="bullet"/>
      <w:lvlText w:val=""/>
      <w:lvlJc w:val="left"/>
      <w:pPr>
        <w:ind w:left="6971" w:hanging="360"/>
      </w:pPr>
      <w:rPr>
        <w:rFonts w:ascii="Wingdings" w:hAnsi="Wingdings" w:hint="default"/>
      </w:rPr>
    </w:lvl>
  </w:abstractNum>
  <w:num w:numId="1" w16cid:durableId="103623450">
    <w:abstractNumId w:val="1"/>
  </w:num>
  <w:num w:numId="2" w16cid:durableId="1131746255">
    <w:abstractNumId w:val="0"/>
  </w:num>
  <w:num w:numId="3" w16cid:durableId="10172561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drawingGridHorizontalSpacing w:val="110"/>
  <w:displayHorizontalDrawingGridEvery w:val="2"/>
  <w:characterSpacingControl w:val="doNotCompress"/>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E6414"/>
    <w:rsid w:val="000372FF"/>
    <w:rsid w:val="00090371"/>
    <w:rsid w:val="000B6C92"/>
    <w:rsid w:val="00110534"/>
    <w:rsid w:val="001E108F"/>
    <w:rsid w:val="002453F0"/>
    <w:rsid w:val="00281209"/>
    <w:rsid w:val="0028585D"/>
    <w:rsid w:val="0037086D"/>
    <w:rsid w:val="00385C20"/>
    <w:rsid w:val="003A7D8B"/>
    <w:rsid w:val="003D29FE"/>
    <w:rsid w:val="0054659C"/>
    <w:rsid w:val="00583D58"/>
    <w:rsid w:val="0066168F"/>
    <w:rsid w:val="0078303F"/>
    <w:rsid w:val="007866A6"/>
    <w:rsid w:val="00855E27"/>
    <w:rsid w:val="008E41C5"/>
    <w:rsid w:val="00A019D5"/>
    <w:rsid w:val="00A5040C"/>
    <w:rsid w:val="00A97DD0"/>
    <w:rsid w:val="00AA5AB6"/>
    <w:rsid w:val="00AD7C26"/>
    <w:rsid w:val="00BD3AA1"/>
    <w:rsid w:val="00C35751"/>
    <w:rsid w:val="00C662E8"/>
    <w:rsid w:val="00D56BC3"/>
    <w:rsid w:val="00E158C2"/>
    <w:rsid w:val="00EC11C8"/>
    <w:rsid w:val="00EE6414"/>
    <w:rsid w:val="00EF5222"/>
    <w:rsid w:val="00F57391"/>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CBC5391"/>
  <w15:docId w15:val="{21A5ECD1-2C46-496F-A1E6-2B490A12E06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Calibri Light" w:eastAsia="Calibri Light" w:hAnsi="Calibri Light" w:cs="Calibri Light"/>
    </w:rPr>
  </w:style>
  <w:style w:type="paragraph" w:styleId="Heading1">
    <w:name w:val="heading 1"/>
    <w:basedOn w:val="Normal"/>
    <w:uiPriority w:val="9"/>
    <w:qFormat/>
    <w:pPr>
      <w:ind w:left="851"/>
      <w:outlineLvl w:val="0"/>
    </w:pPr>
    <w:rPr>
      <w:rFonts w:ascii="Calibri" w:eastAsia="Calibri" w:hAnsi="Calibri" w:cs="Calibri"/>
      <w:b/>
      <w:bCs/>
      <w:sz w:val="36"/>
      <w:szCs w:val="3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rPr>
      <w:sz w:val="24"/>
      <w:szCs w:val="24"/>
    </w:rPr>
  </w:style>
  <w:style w:type="paragraph" w:styleId="ListParagraph">
    <w:name w:val="List Paragraph"/>
    <w:basedOn w:val="Normal"/>
    <w:uiPriority w:val="1"/>
    <w:qFormat/>
  </w:style>
  <w:style w:type="paragraph" w:customStyle="1" w:styleId="TableParagraph">
    <w:name w:val="Table Paragraph"/>
    <w:basedOn w:val="Normal"/>
    <w:uiPriority w:val="1"/>
    <w:qFormat/>
  </w:style>
  <w:style w:type="paragraph" w:customStyle="1" w:styleId="paragraph">
    <w:name w:val="paragraph"/>
    <w:basedOn w:val="Normal"/>
    <w:rsid w:val="003A7D8B"/>
    <w:pPr>
      <w:widowControl/>
      <w:autoSpaceDE/>
      <w:autoSpaceDN/>
      <w:spacing w:before="100" w:beforeAutospacing="1" w:after="100" w:afterAutospacing="1"/>
    </w:pPr>
    <w:rPr>
      <w:rFonts w:ascii="Times New Roman" w:eastAsia="Times New Roman" w:hAnsi="Times New Roman" w:cs="Times New Roman"/>
      <w:sz w:val="24"/>
      <w:szCs w:val="24"/>
      <w:lang w:val="en-GB" w:eastAsia="en-GB"/>
      <w14:ligatures w14:val="standardContextual"/>
    </w:rPr>
  </w:style>
  <w:style w:type="table" w:styleId="TableGrid">
    <w:name w:val="Table Grid"/>
    <w:basedOn w:val="TableNormal"/>
    <w:uiPriority w:val="39"/>
    <w:rsid w:val="00110534"/>
    <w:pPr>
      <w:widowControl/>
      <w:autoSpaceDE/>
      <w:autoSpaceDN/>
    </w:pPr>
    <w:rPr>
      <w:lang w:val="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1E108F"/>
    <w:rPr>
      <w:color w:val="0000FF" w:themeColor="hyperlink"/>
      <w:u w:val="single"/>
    </w:rPr>
  </w:style>
  <w:style w:type="character" w:styleId="UnresolvedMention">
    <w:name w:val="Unresolved Mention"/>
    <w:basedOn w:val="DefaultParagraphFont"/>
    <w:uiPriority w:val="99"/>
    <w:semiHidden/>
    <w:unhideWhenUsed/>
    <w:rsid w:val="001E108F"/>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jpeg"/><Relationship Id="rId5" Type="http://schemas.openxmlformats.org/officeDocument/2006/relationships/image" Target="media/image1.jpe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636</Words>
  <Characters>4278</Characters>
  <Application>Microsoft Office Word</Application>
  <DocSecurity>0</DocSecurity>
  <Lines>112</Lines>
  <Paragraphs>48</Paragraphs>
  <ScaleCrop>false</ScaleCrop>
  <HeadingPairs>
    <vt:vector size="2" baseType="variant">
      <vt:variant>
        <vt:lpstr>Title</vt:lpstr>
      </vt:variant>
      <vt:variant>
        <vt:i4>1</vt:i4>
      </vt:variant>
    </vt:vector>
  </HeadingPairs>
  <TitlesOfParts>
    <vt:vector size="1" baseType="lpstr">
      <vt:lpstr/>
    </vt:vector>
  </TitlesOfParts>
  <Company>Platform Housing Group</Company>
  <LinksUpToDate>false</LinksUpToDate>
  <CharactersWithSpaces>4866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Kim Franklin</dc:creator>
  <cp:lastModifiedBy>Kim Franklin</cp:lastModifiedBy>
  <cp:revision>2</cp:revision>
  <dcterms:created xsi:type="dcterms:W3CDTF">2026-09-01T07:16:00Z</dcterms:created>
  <dcterms:modified xsi:type="dcterms:W3CDTF">2026-09-01T07:16:00Z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2025-10-23T00:00:00Z</vt:filetime>
  </property>
  <property fmtid="{D5CDD505-2E9C-101B-9397-08002B2CF9AE}" pid="3" name="Creator">
    <vt:lpwstr>Adobe InDesign 20.5 (Macintosh)</vt:lpwstr>
  </property>
  <property fmtid="{D5CDD505-2E9C-101B-9397-08002B2CF9AE}" pid="4" name="LastSaved">
    <vt:filetime>2025-10-23T00:00:00Z</vt:filetime>
  </property>
  <property fmtid="{D5CDD505-2E9C-101B-9397-08002B2CF9AE}" pid="5" name="Producer">
    <vt:lpwstr>Adobe PDF Library 17.0</vt:lpwstr>
  </property>
  <property fmtid="{D5CDD505-2E9C-101B-9397-08002B2CF9AE}" pid="6" name="MSIP_Label_a6d6e379-e9de-406e-9dcd-190fddcddbd9_Enabled">
    <vt:lpwstr>true</vt:lpwstr>
  </property>
  <property fmtid="{D5CDD505-2E9C-101B-9397-08002B2CF9AE}" pid="7" name="MSIP_Label_a6d6e379-e9de-406e-9dcd-190fddcddbd9_SetDate">
    <vt:lpwstr>2025-10-23T10:22:43Z</vt:lpwstr>
  </property>
  <property fmtid="{D5CDD505-2E9C-101B-9397-08002B2CF9AE}" pid="8" name="MSIP_Label_a6d6e379-e9de-406e-9dcd-190fddcddbd9_Method">
    <vt:lpwstr>Standard</vt:lpwstr>
  </property>
  <property fmtid="{D5CDD505-2E9C-101B-9397-08002B2CF9AE}" pid="9" name="MSIP_Label_a6d6e379-e9de-406e-9dcd-190fddcddbd9_Name">
    <vt:lpwstr>Internal - No Footer</vt:lpwstr>
  </property>
  <property fmtid="{D5CDD505-2E9C-101B-9397-08002B2CF9AE}" pid="10" name="MSIP_Label_a6d6e379-e9de-406e-9dcd-190fddcddbd9_SiteId">
    <vt:lpwstr>668364d4-3d43-4051-adbc-5bbb517a46fc</vt:lpwstr>
  </property>
  <property fmtid="{D5CDD505-2E9C-101B-9397-08002B2CF9AE}" pid="11" name="MSIP_Label_a6d6e379-e9de-406e-9dcd-190fddcddbd9_ActionId">
    <vt:lpwstr>01136e9d-6e2a-4fe1-88ce-ea8e5335a2b6</vt:lpwstr>
  </property>
  <property fmtid="{D5CDD505-2E9C-101B-9397-08002B2CF9AE}" pid="12" name="MSIP_Label_a6d6e379-e9de-406e-9dcd-190fddcddbd9_ContentBits">
    <vt:lpwstr>0</vt:lpwstr>
  </property>
  <property fmtid="{D5CDD505-2E9C-101B-9397-08002B2CF9AE}" pid="13" name="MSIP_Label_a6d6e379-e9de-406e-9dcd-190fddcddbd9_Tag">
    <vt:lpwstr>10, 3, 0, 1</vt:lpwstr>
  </property>
</Properties>
</file>